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454" w:rsidRPr="002E0147" w:rsidRDefault="002E0147" w:rsidP="002E0147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2E0147">
        <w:rPr>
          <w:b/>
          <w:sz w:val="26"/>
          <w:szCs w:val="26"/>
        </w:rPr>
        <w:t>Марафон педагогических и управленческих практик 2025</w:t>
      </w:r>
    </w:p>
    <w:tbl>
      <w:tblPr>
        <w:tblStyle w:val="a3"/>
        <w:tblW w:w="11058" w:type="dxa"/>
        <w:tblInd w:w="-289" w:type="dxa"/>
        <w:tblLook w:val="04A0" w:firstRow="1" w:lastRow="0" w:firstColumn="1" w:lastColumn="0" w:noHBand="0" w:noVBand="1"/>
      </w:tblPr>
      <w:tblGrid>
        <w:gridCol w:w="10349"/>
        <w:gridCol w:w="709"/>
      </w:tblGrid>
      <w:tr w:rsidR="003063D2" w:rsidRPr="003063D2" w:rsidTr="004C7368">
        <w:tc>
          <w:tcPr>
            <w:tcW w:w="10349" w:type="dxa"/>
          </w:tcPr>
          <w:p w:rsidR="003063D2" w:rsidRDefault="00DB39C1" w:rsidP="005B0909">
            <w:pPr>
              <w:ind w:firstLine="56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Добрый день уважаемые коллеги</w:t>
            </w:r>
            <w:r w:rsidR="003063D2">
              <w:rPr>
                <w:rFonts w:cs="Times New Roman"/>
                <w:sz w:val="26"/>
                <w:szCs w:val="26"/>
              </w:rPr>
              <w:t>.</w:t>
            </w:r>
          </w:p>
          <w:p w:rsidR="004F7E00" w:rsidRDefault="00DB39C1" w:rsidP="00501ABD">
            <w:pPr>
              <w:ind w:firstLine="56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С 2024 года наша школа – Гимназия № 41 является </w:t>
            </w:r>
            <w:r w:rsidR="004F7E00" w:rsidRPr="00797259">
              <w:rPr>
                <w:rFonts w:cs="Times New Roman"/>
                <w:sz w:val="26"/>
                <w:szCs w:val="26"/>
              </w:rPr>
              <w:t>региональной инновационной площадкой Свердловской области по теме: «</w:t>
            </w:r>
            <w:r w:rsidR="004F7E00" w:rsidRPr="00322EE7">
              <w:rPr>
                <w:rFonts w:cs="Times New Roman"/>
                <w:sz w:val="26"/>
                <w:szCs w:val="26"/>
              </w:rPr>
              <w:t>Формирование активной образовательной среды в МАОУ «Гимназии № 41» для выявления, поддержки и развития способностей и талантов у учащихся»</w:t>
            </w:r>
            <w:r w:rsidR="004F7E00">
              <w:rPr>
                <w:rFonts w:cs="Times New Roman"/>
                <w:sz w:val="26"/>
                <w:szCs w:val="26"/>
              </w:rPr>
              <w:t>.</w:t>
            </w:r>
          </w:p>
          <w:p w:rsidR="00FF63A5" w:rsidRPr="005113FA" w:rsidRDefault="004F7E00" w:rsidP="001F63FE">
            <w:pPr>
              <w:ind w:firstLine="56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В процессе реализации инновационного проекта нами был сделан вывод, что активная образовательная среда является эффективным инструментом </w:t>
            </w:r>
            <w:r w:rsidR="001F63FE">
              <w:rPr>
                <w:rFonts w:cs="Times New Roman"/>
                <w:sz w:val="26"/>
                <w:szCs w:val="26"/>
              </w:rPr>
              <w:t>для</w:t>
            </w:r>
            <w:r w:rsidR="000B3F48">
              <w:rPr>
                <w:rFonts w:cs="Times New Roman"/>
                <w:sz w:val="26"/>
                <w:szCs w:val="26"/>
              </w:rPr>
              <w:t xml:space="preserve"> </w:t>
            </w:r>
            <w:r w:rsidR="00CD4E8F">
              <w:rPr>
                <w:rFonts w:cs="Times New Roman"/>
                <w:sz w:val="26"/>
                <w:szCs w:val="26"/>
              </w:rPr>
              <w:t xml:space="preserve">решения </w:t>
            </w:r>
            <w:r w:rsidR="000B3F48">
              <w:rPr>
                <w:rFonts w:cs="Times New Roman"/>
                <w:sz w:val="26"/>
                <w:szCs w:val="26"/>
              </w:rPr>
              <w:t>широкого спектра задач, которые ставятся перед системной общего образования</w:t>
            </w:r>
          </w:p>
        </w:tc>
        <w:tc>
          <w:tcPr>
            <w:tcW w:w="709" w:type="dxa"/>
            <w:vAlign w:val="center"/>
          </w:tcPr>
          <w:p w:rsidR="00FF63A5" w:rsidRPr="004C7368" w:rsidRDefault="00CE6B52" w:rsidP="004C7368">
            <w:pPr>
              <w:ind w:hanging="35"/>
              <w:jc w:val="center"/>
              <w:rPr>
                <w:sz w:val="52"/>
                <w:szCs w:val="26"/>
              </w:rPr>
            </w:pPr>
            <w:r w:rsidRPr="004C7368">
              <w:rPr>
                <w:sz w:val="52"/>
                <w:szCs w:val="26"/>
              </w:rPr>
              <w:t>1</w:t>
            </w:r>
          </w:p>
        </w:tc>
      </w:tr>
      <w:tr w:rsidR="00390F37" w:rsidRPr="003063D2" w:rsidTr="004C7368">
        <w:tc>
          <w:tcPr>
            <w:tcW w:w="10349" w:type="dxa"/>
          </w:tcPr>
          <w:p w:rsidR="00390F37" w:rsidRPr="005113FA" w:rsidRDefault="00501ABD" w:rsidP="00501ABD">
            <w:pPr>
              <w:ind w:firstLine="567"/>
              <w:rPr>
                <w:rFonts w:cs="Times New Roman"/>
                <w:sz w:val="26"/>
                <w:szCs w:val="26"/>
              </w:rPr>
            </w:pPr>
            <w:r w:rsidRPr="005113FA">
              <w:rPr>
                <w:rFonts w:cs="Times New Roman"/>
                <w:sz w:val="26"/>
                <w:szCs w:val="26"/>
              </w:rPr>
              <w:t>Под образовательной средой понимается система влияний и условий формирования личности в соответствии с планируемыми результатами, а также возможностей для её развития, которые содержаться в пространственно-предметном и социальном окружении. Деятельностный характер функционирования образовательной среды обеспечивает её активность</w:t>
            </w:r>
          </w:p>
        </w:tc>
        <w:tc>
          <w:tcPr>
            <w:tcW w:w="709" w:type="dxa"/>
            <w:vAlign w:val="center"/>
          </w:tcPr>
          <w:p w:rsidR="00390F37" w:rsidRPr="004C7368" w:rsidRDefault="00CE6B52" w:rsidP="004C7368">
            <w:pPr>
              <w:ind w:hanging="35"/>
              <w:jc w:val="center"/>
              <w:rPr>
                <w:noProof/>
                <w:sz w:val="52"/>
                <w:szCs w:val="26"/>
                <w:lang w:eastAsia="ru-RU"/>
              </w:rPr>
            </w:pPr>
            <w:r w:rsidRPr="004C7368">
              <w:rPr>
                <w:noProof/>
                <w:sz w:val="52"/>
                <w:szCs w:val="26"/>
                <w:lang w:eastAsia="ru-RU"/>
              </w:rPr>
              <w:t>2</w:t>
            </w:r>
          </w:p>
        </w:tc>
      </w:tr>
      <w:tr w:rsidR="00501ABD" w:rsidRPr="003063D2" w:rsidTr="004C7368">
        <w:tc>
          <w:tcPr>
            <w:tcW w:w="10349" w:type="dxa"/>
          </w:tcPr>
          <w:p w:rsidR="00501ABD" w:rsidRPr="00520DA5" w:rsidRDefault="00501ABD" w:rsidP="00501ABD">
            <w:pPr>
              <w:ind w:firstLine="567"/>
              <w:rPr>
                <w:rFonts w:cs="Times New Roman"/>
                <w:sz w:val="26"/>
                <w:szCs w:val="26"/>
              </w:rPr>
            </w:pPr>
            <w:r w:rsidRPr="00520DA5">
              <w:rPr>
                <w:rFonts w:cs="Times New Roman"/>
                <w:sz w:val="26"/>
                <w:szCs w:val="26"/>
              </w:rPr>
              <w:t xml:space="preserve">Компонентами образовательной среды, по В.А. </w:t>
            </w:r>
            <w:proofErr w:type="spellStart"/>
            <w:r w:rsidRPr="00520DA5">
              <w:rPr>
                <w:rFonts w:cs="Times New Roman"/>
                <w:sz w:val="26"/>
                <w:szCs w:val="26"/>
              </w:rPr>
              <w:t>Ясвину</w:t>
            </w:r>
            <w:proofErr w:type="spellEnd"/>
            <w:r w:rsidRPr="00520DA5">
              <w:rPr>
                <w:rFonts w:cs="Times New Roman"/>
                <w:sz w:val="26"/>
                <w:szCs w:val="26"/>
              </w:rPr>
              <w:t>, являются: социально-контактный, информационный и предметный. Остановимся на них:</w:t>
            </w:r>
          </w:p>
          <w:p w:rsidR="00501ABD" w:rsidRPr="00492E9E" w:rsidRDefault="00501ABD" w:rsidP="00492E9E">
            <w:pPr>
              <w:pStyle w:val="a7"/>
              <w:numPr>
                <w:ilvl w:val="0"/>
                <w:numId w:val="2"/>
              </w:numPr>
              <w:tabs>
                <w:tab w:val="left" w:pos="870"/>
              </w:tabs>
              <w:ind w:left="0" w:firstLine="606"/>
              <w:rPr>
                <w:rFonts w:cs="Times New Roman"/>
                <w:sz w:val="26"/>
                <w:szCs w:val="26"/>
              </w:rPr>
            </w:pPr>
            <w:r w:rsidRPr="00492E9E">
              <w:rPr>
                <w:rFonts w:cs="Times New Roman"/>
                <w:sz w:val="26"/>
                <w:szCs w:val="26"/>
              </w:rPr>
              <w:t>социально-контактный компонент охватывает социокультурные особенности территории, личный пример окружающих, учреждения и организации, с которыми обучающемуся приходится взаимодействовать; микросоциумы, в которые он включен;</w:t>
            </w:r>
          </w:p>
          <w:p w:rsidR="00501ABD" w:rsidRPr="00492E9E" w:rsidRDefault="00501ABD" w:rsidP="00492E9E">
            <w:pPr>
              <w:pStyle w:val="a7"/>
              <w:numPr>
                <w:ilvl w:val="0"/>
                <w:numId w:val="2"/>
              </w:numPr>
              <w:tabs>
                <w:tab w:val="left" w:pos="870"/>
              </w:tabs>
              <w:ind w:left="0" w:firstLine="606"/>
              <w:rPr>
                <w:rFonts w:cs="Times New Roman"/>
                <w:sz w:val="26"/>
                <w:szCs w:val="26"/>
              </w:rPr>
            </w:pPr>
            <w:r w:rsidRPr="00492E9E">
              <w:rPr>
                <w:rFonts w:cs="Times New Roman"/>
                <w:sz w:val="26"/>
                <w:szCs w:val="26"/>
              </w:rPr>
              <w:t xml:space="preserve">информационный компонент содержит нормативно-правовое пространство, уклад и традиции образовательной организации, средства наглядности и рекламы, а также персонально адресованные воздействия; </w:t>
            </w:r>
          </w:p>
          <w:p w:rsidR="00501ABD" w:rsidRPr="00492E9E" w:rsidRDefault="00501ABD" w:rsidP="00492E9E">
            <w:pPr>
              <w:pStyle w:val="a7"/>
              <w:numPr>
                <w:ilvl w:val="0"/>
                <w:numId w:val="2"/>
              </w:numPr>
              <w:tabs>
                <w:tab w:val="left" w:pos="870"/>
              </w:tabs>
              <w:ind w:left="0" w:firstLine="606"/>
              <w:rPr>
                <w:rFonts w:cs="Times New Roman"/>
                <w:sz w:val="26"/>
                <w:szCs w:val="26"/>
              </w:rPr>
            </w:pPr>
            <w:r w:rsidRPr="00492E9E">
              <w:rPr>
                <w:rFonts w:cs="Times New Roman"/>
                <w:sz w:val="26"/>
                <w:szCs w:val="26"/>
              </w:rPr>
              <w:t>предметный компонент включает в себя физическую организацию пространства, используемые предметы и оборудование, специфику деятельности, в которую включён обучающийся, санитарно-гигиенические условия</w:t>
            </w:r>
            <w:r w:rsidR="00CE6B52" w:rsidRPr="00492E9E">
              <w:rPr>
                <w:rFonts w:cs="Times New Roman"/>
                <w:sz w:val="26"/>
                <w:szCs w:val="26"/>
              </w:rPr>
              <w:t>.</w:t>
            </w:r>
          </w:p>
          <w:p w:rsidR="00CE6B52" w:rsidRPr="005113FA" w:rsidRDefault="00CE6B52" w:rsidP="00501ABD">
            <w:pPr>
              <w:ind w:firstLine="567"/>
              <w:rPr>
                <w:rFonts w:cs="Times New Roman"/>
                <w:sz w:val="26"/>
                <w:szCs w:val="26"/>
              </w:rPr>
            </w:pPr>
            <w:r w:rsidRPr="005113FA">
              <w:rPr>
                <w:rFonts w:cs="Times New Roman"/>
                <w:sz w:val="26"/>
                <w:szCs w:val="26"/>
              </w:rPr>
              <w:t>Процесс формирования активной образовательной среды не может быть эффективным без правильно организован</w:t>
            </w:r>
            <w:r>
              <w:rPr>
                <w:rFonts w:cs="Times New Roman"/>
                <w:sz w:val="26"/>
                <w:szCs w:val="26"/>
              </w:rPr>
              <w:t>ной управленческой деятельности</w:t>
            </w:r>
          </w:p>
        </w:tc>
        <w:tc>
          <w:tcPr>
            <w:tcW w:w="709" w:type="dxa"/>
            <w:vAlign w:val="center"/>
          </w:tcPr>
          <w:p w:rsidR="00501ABD" w:rsidRPr="004C7368" w:rsidRDefault="00CE6B52" w:rsidP="004C7368">
            <w:pPr>
              <w:ind w:hanging="35"/>
              <w:jc w:val="center"/>
              <w:rPr>
                <w:noProof/>
                <w:sz w:val="52"/>
                <w:szCs w:val="26"/>
                <w:lang w:eastAsia="ru-RU"/>
              </w:rPr>
            </w:pPr>
            <w:r w:rsidRPr="004C7368">
              <w:rPr>
                <w:noProof/>
                <w:sz w:val="52"/>
                <w:szCs w:val="26"/>
                <w:lang w:eastAsia="ru-RU"/>
              </w:rPr>
              <w:t>3</w:t>
            </w:r>
          </w:p>
        </w:tc>
      </w:tr>
      <w:tr w:rsidR="003063D2" w:rsidRPr="003063D2" w:rsidTr="004C7368">
        <w:tc>
          <w:tcPr>
            <w:tcW w:w="10349" w:type="dxa"/>
          </w:tcPr>
          <w:p w:rsidR="00CE6B52" w:rsidRDefault="00CE6B52" w:rsidP="00CE6B52">
            <w:pPr>
              <w:ind w:firstLine="567"/>
              <w:rPr>
                <w:rFonts w:cs="Times New Roman"/>
                <w:sz w:val="26"/>
                <w:szCs w:val="26"/>
              </w:rPr>
            </w:pPr>
            <w:r w:rsidRPr="00182B76">
              <w:rPr>
                <w:rFonts w:cs="Times New Roman"/>
                <w:sz w:val="26"/>
                <w:szCs w:val="26"/>
              </w:rPr>
              <w:t>В педагогической науке организация управленческой деятельности, согласно П.И. Третьякову, раскрывается через функции управленческого цикла</w:t>
            </w:r>
            <w:r>
              <w:rPr>
                <w:rFonts w:cs="Times New Roman"/>
                <w:sz w:val="26"/>
                <w:szCs w:val="26"/>
              </w:rPr>
              <w:t>:</w:t>
            </w:r>
            <w:r w:rsidRPr="00182B76">
              <w:rPr>
                <w:rFonts w:cs="Times New Roman"/>
                <w:sz w:val="26"/>
                <w:szCs w:val="26"/>
              </w:rPr>
              <w:t xml:space="preserve"> </w:t>
            </w:r>
            <w:r w:rsidRPr="009645A2">
              <w:rPr>
                <w:rFonts w:cs="Times New Roman"/>
                <w:sz w:val="26"/>
                <w:szCs w:val="26"/>
              </w:rPr>
              <w:t>информационно-аналитическую, мотивационно-целевую, планово-прогностическую, организационно-исполнительскую, контрольно-диагностическую и регулятивно-коррекционную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  <w:p w:rsidR="00CE6B52" w:rsidRDefault="00CE6B52" w:rsidP="007F0395">
            <w:pPr>
              <w:ind w:firstLine="567"/>
              <w:rPr>
                <w:rFonts w:cs="Times New Roman"/>
                <w:sz w:val="26"/>
                <w:szCs w:val="26"/>
              </w:rPr>
            </w:pPr>
            <w:r w:rsidRPr="00182B76">
              <w:rPr>
                <w:rFonts w:cs="Times New Roman"/>
                <w:sz w:val="26"/>
                <w:szCs w:val="26"/>
              </w:rPr>
              <w:t xml:space="preserve">Рассмотрим </w:t>
            </w:r>
            <w:r>
              <w:rPr>
                <w:rFonts w:cs="Times New Roman"/>
                <w:sz w:val="26"/>
                <w:szCs w:val="26"/>
              </w:rPr>
              <w:t xml:space="preserve">модель </w:t>
            </w:r>
            <w:r w:rsidRPr="00182B76">
              <w:rPr>
                <w:rFonts w:cs="Times New Roman"/>
                <w:sz w:val="26"/>
                <w:szCs w:val="26"/>
              </w:rPr>
              <w:t>процесс</w:t>
            </w:r>
            <w:r>
              <w:rPr>
                <w:rFonts w:cs="Times New Roman"/>
                <w:sz w:val="26"/>
                <w:szCs w:val="26"/>
              </w:rPr>
              <w:t>а</w:t>
            </w:r>
            <w:r w:rsidRPr="00182B76">
              <w:rPr>
                <w:rFonts w:cs="Times New Roman"/>
                <w:sz w:val="26"/>
                <w:szCs w:val="26"/>
              </w:rPr>
              <w:t xml:space="preserve"> формирования активной образовательной среды в соответствии с функциями</w:t>
            </w:r>
            <w:r>
              <w:rPr>
                <w:rFonts w:cs="Times New Roman"/>
                <w:sz w:val="26"/>
                <w:szCs w:val="26"/>
              </w:rPr>
              <w:t xml:space="preserve"> управленческого цикла на примере ф</w:t>
            </w:r>
            <w:r w:rsidRPr="00322EE7">
              <w:rPr>
                <w:rFonts w:cs="Times New Roman"/>
                <w:sz w:val="26"/>
                <w:szCs w:val="26"/>
              </w:rPr>
              <w:t>ормирование активной образовательной среды в МАОУ «Гимназии № 41» для выявления, поддержки и развития способностей и талантов у учащихся</w:t>
            </w:r>
            <w:r w:rsidR="005779E4">
              <w:rPr>
                <w:rFonts w:cs="Times New Roman"/>
                <w:sz w:val="26"/>
                <w:szCs w:val="26"/>
              </w:rPr>
              <w:t>.</w:t>
            </w:r>
          </w:p>
          <w:p w:rsidR="005779E4" w:rsidRPr="005113FA" w:rsidRDefault="005779E4" w:rsidP="007F0395">
            <w:pPr>
              <w:ind w:firstLine="56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Вам представлен конструкт для формирования активной образовательной среды, который состоит из 6 основных шагов</w:t>
            </w:r>
          </w:p>
        </w:tc>
        <w:tc>
          <w:tcPr>
            <w:tcW w:w="709" w:type="dxa"/>
            <w:vAlign w:val="center"/>
          </w:tcPr>
          <w:p w:rsidR="00FF63A5" w:rsidRPr="004C7368" w:rsidRDefault="00CE6B52" w:rsidP="004C7368">
            <w:pPr>
              <w:ind w:hanging="35"/>
              <w:jc w:val="center"/>
              <w:rPr>
                <w:sz w:val="52"/>
                <w:szCs w:val="26"/>
              </w:rPr>
            </w:pPr>
            <w:r w:rsidRPr="004C7368">
              <w:rPr>
                <w:sz w:val="52"/>
                <w:szCs w:val="26"/>
              </w:rPr>
              <w:t>4</w:t>
            </w:r>
          </w:p>
        </w:tc>
      </w:tr>
      <w:tr w:rsidR="003063D2" w:rsidRPr="003063D2" w:rsidTr="004C7368">
        <w:tc>
          <w:tcPr>
            <w:tcW w:w="10349" w:type="dxa"/>
          </w:tcPr>
          <w:p w:rsidR="00666837" w:rsidRDefault="00666837" w:rsidP="005B0909">
            <w:pPr>
              <w:ind w:firstLine="56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Первый шаг в алгоритме формирования активной образовательной среды заключается в определении актуального для школы направления деятельности. В нашем случае было организовано онлайн голосование</w:t>
            </w:r>
            <w:r w:rsidR="005779E4">
              <w:rPr>
                <w:rFonts w:cs="Times New Roman"/>
                <w:sz w:val="26"/>
                <w:szCs w:val="26"/>
              </w:rPr>
              <w:t>, в котором педагогическому коллективу были предложены несколько направлений</w:t>
            </w:r>
            <w:r>
              <w:rPr>
                <w:rFonts w:cs="Times New Roman"/>
                <w:sz w:val="26"/>
                <w:szCs w:val="26"/>
              </w:rPr>
              <w:t>.</w:t>
            </w:r>
            <w:r w:rsidR="005779E4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492E9E" w:rsidRDefault="00CE6B52" w:rsidP="005779E4">
            <w:pPr>
              <w:ind w:firstLine="56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Для реализации </w:t>
            </w:r>
            <w:r w:rsidRPr="00182B76">
              <w:rPr>
                <w:rFonts w:cs="Times New Roman"/>
                <w:sz w:val="26"/>
                <w:szCs w:val="26"/>
              </w:rPr>
              <w:t>информационно-аналитическ</w:t>
            </w:r>
            <w:r>
              <w:rPr>
                <w:rFonts w:cs="Times New Roman"/>
                <w:sz w:val="26"/>
                <w:szCs w:val="26"/>
              </w:rPr>
              <w:t>ой</w:t>
            </w:r>
            <w:r w:rsidRPr="00182B76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 xml:space="preserve">функции был выполнен </w:t>
            </w:r>
            <w:r w:rsidRPr="00182B76">
              <w:rPr>
                <w:rFonts w:cs="Times New Roman"/>
                <w:sz w:val="26"/>
                <w:szCs w:val="26"/>
              </w:rPr>
              <w:t>SWOT-анализ в рамках выбранного направления</w:t>
            </w:r>
            <w:r w:rsidR="005779E4">
              <w:rPr>
                <w:rFonts w:cs="Times New Roman"/>
                <w:sz w:val="26"/>
                <w:szCs w:val="26"/>
              </w:rPr>
              <w:t>. Это 2 шаг конструкта. Частично анализ представлен на слайде.</w:t>
            </w:r>
            <w:r w:rsidR="00492E9E" w:rsidRPr="00182B76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5779E4" w:rsidRPr="00182B76" w:rsidRDefault="00492E9E" w:rsidP="005779E4">
            <w:pPr>
              <w:ind w:firstLine="567"/>
              <w:rPr>
                <w:rFonts w:cs="Times New Roman"/>
                <w:sz w:val="26"/>
                <w:szCs w:val="26"/>
              </w:rPr>
            </w:pPr>
            <w:r w:rsidRPr="00182B76">
              <w:rPr>
                <w:rFonts w:cs="Times New Roman"/>
                <w:sz w:val="26"/>
                <w:szCs w:val="26"/>
              </w:rPr>
              <w:t>Исходя из результатов анализа раскры</w:t>
            </w:r>
            <w:r>
              <w:rPr>
                <w:rFonts w:cs="Times New Roman"/>
                <w:sz w:val="26"/>
                <w:szCs w:val="26"/>
              </w:rPr>
              <w:t>вается</w:t>
            </w:r>
            <w:r w:rsidRPr="00182B76">
              <w:rPr>
                <w:rFonts w:cs="Times New Roman"/>
                <w:sz w:val="26"/>
                <w:szCs w:val="26"/>
              </w:rPr>
              <w:t xml:space="preserve"> спектр возможностей и рисков, сильные и слабые стороны образовательной организации, что хар</w:t>
            </w:r>
            <w:r>
              <w:rPr>
                <w:rFonts w:cs="Times New Roman"/>
                <w:sz w:val="26"/>
                <w:szCs w:val="26"/>
              </w:rPr>
              <w:t xml:space="preserve">актеризует мотивационно-целевую функцию </w:t>
            </w:r>
            <w:r w:rsidRPr="00182B76">
              <w:rPr>
                <w:rFonts w:cs="Times New Roman"/>
                <w:sz w:val="26"/>
                <w:szCs w:val="26"/>
              </w:rPr>
              <w:t>управленческого цикла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FF63A5" w:rsidRPr="004C7368" w:rsidRDefault="00CE6B52" w:rsidP="004C7368">
            <w:pPr>
              <w:ind w:hanging="35"/>
              <w:jc w:val="center"/>
              <w:rPr>
                <w:sz w:val="52"/>
                <w:szCs w:val="26"/>
              </w:rPr>
            </w:pPr>
            <w:r w:rsidRPr="004C7368">
              <w:rPr>
                <w:sz w:val="52"/>
                <w:szCs w:val="26"/>
              </w:rPr>
              <w:t>5</w:t>
            </w:r>
          </w:p>
        </w:tc>
      </w:tr>
      <w:tr w:rsidR="003063D2" w:rsidRPr="003063D2" w:rsidTr="004C7368">
        <w:tc>
          <w:tcPr>
            <w:tcW w:w="10349" w:type="dxa"/>
          </w:tcPr>
          <w:p w:rsidR="005113FA" w:rsidRDefault="00492E9E" w:rsidP="005B0909">
            <w:pPr>
              <w:ind w:firstLine="56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На основе проведённого анализа можно сформулировать цель формирования активной образовательной среды.</w:t>
            </w:r>
          </w:p>
          <w:p w:rsidR="00FF63A5" w:rsidRPr="00182B76" w:rsidRDefault="00390F37" w:rsidP="00666837">
            <w:pPr>
              <w:ind w:firstLine="56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Следующим шагом в создании активной образовательной среды является наполнение её компонентов конкретными мероприятиями и исполнителями, что характеризует планово-</w:t>
            </w:r>
            <w:r w:rsidR="005113FA" w:rsidRPr="00182B76">
              <w:rPr>
                <w:rFonts w:cs="Times New Roman"/>
                <w:sz w:val="26"/>
                <w:szCs w:val="26"/>
              </w:rPr>
              <w:t>прогностическая деятельность</w:t>
            </w:r>
          </w:p>
        </w:tc>
        <w:tc>
          <w:tcPr>
            <w:tcW w:w="709" w:type="dxa"/>
            <w:vAlign w:val="center"/>
          </w:tcPr>
          <w:p w:rsidR="00FF63A5" w:rsidRPr="004C7368" w:rsidRDefault="00666837" w:rsidP="004C7368">
            <w:pPr>
              <w:ind w:hanging="35"/>
              <w:jc w:val="center"/>
              <w:rPr>
                <w:sz w:val="52"/>
                <w:szCs w:val="26"/>
              </w:rPr>
            </w:pPr>
            <w:r w:rsidRPr="004C7368">
              <w:rPr>
                <w:sz w:val="52"/>
                <w:szCs w:val="26"/>
              </w:rPr>
              <w:lastRenderedPageBreak/>
              <w:t>6</w:t>
            </w:r>
          </w:p>
        </w:tc>
      </w:tr>
      <w:tr w:rsidR="003063D2" w:rsidRPr="003063D2" w:rsidTr="004C7368">
        <w:tc>
          <w:tcPr>
            <w:tcW w:w="10349" w:type="dxa"/>
          </w:tcPr>
          <w:p w:rsidR="00E93E14" w:rsidRDefault="00E93E14" w:rsidP="005B0909">
            <w:pPr>
              <w:ind w:firstLine="56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Она включает в</w:t>
            </w:r>
            <w:r w:rsidRPr="00182B76">
              <w:rPr>
                <w:rFonts w:cs="Times New Roman"/>
                <w:sz w:val="26"/>
                <w:szCs w:val="26"/>
              </w:rPr>
              <w:t xml:space="preserve"> себя интеграцию имеющегося в школе опыта по выбранному направлению и новых перспективных разработок, проектирование деятельности педагогического коллектива по срокам, содержанию и планируемым результатам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  <w:p w:rsidR="00E93E14" w:rsidRDefault="00E93E14" w:rsidP="005B0909">
            <w:pPr>
              <w:ind w:firstLine="56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И</w:t>
            </w:r>
            <w:r w:rsidRPr="00182B76">
              <w:rPr>
                <w:rFonts w:cs="Times New Roman"/>
                <w:sz w:val="26"/>
                <w:szCs w:val="26"/>
              </w:rPr>
              <w:t>сполнение принятых решений с учётом целесообразных форм, способов и средств воздействия на исполнителя</w:t>
            </w:r>
            <w:r>
              <w:rPr>
                <w:rFonts w:cs="Times New Roman"/>
                <w:sz w:val="26"/>
                <w:szCs w:val="26"/>
              </w:rPr>
              <w:t xml:space="preserve"> характеризует о</w:t>
            </w:r>
            <w:r w:rsidR="005113FA" w:rsidRPr="00182B76">
              <w:rPr>
                <w:rFonts w:cs="Times New Roman"/>
                <w:sz w:val="26"/>
                <w:szCs w:val="26"/>
              </w:rPr>
              <w:t>рганизационно-исполнительск</w:t>
            </w:r>
            <w:r>
              <w:rPr>
                <w:rFonts w:cs="Times New Roman"/>
                <w:sz w:val="26"/>
                <w:szCs w:val="26"/>
              </w:rPr>
              <w:t>ую функцию управленческой деятельности.</w:t>
            </w:r>
          </w:p>
          <w:p w:rsidR="005113FA" w:rsidRPr="00182B76" w:rsidRDefault="005113FA" w:rsidP="005B0909">
            <w:pPr>
              <w:ind w:firstLine="567"/>
              <w:rPr>
                <w:rFonts w:cs="Times New Roman"/>
                <w:sz w:val="26"/>
                <w:szCs w:val="26"/>
              </w:rPr>
            </w:pPr>
            <w:r w:rsidRPr="00182B76">
              <w:rPr>
                <w:rFonts w:cs="Times New Roman"/>
                <w:sz w:val="26"/>
                <w:szCs w:val="26"/>
              </w:rPr>
              <w:t>Остановимся более подробно</w:t>
            </w:r>
            <w:r w:rsidR="00E93E14">
              <w:rPr>
                <w:rFonts w:cs="Times New Roman"/>
                <w:sz w:val="26"/>
                <w:szCs w:val="26"/>
              </w:rPr>
              <w:t xml:space="preserve"> на мероприятиях в рамках реализации каждого компонента активной образовательной среды</w:t>
            </w:r>
          </w:p>
        </w:tc>
        <w:tc>
          <w:tcPr>
            <w:tcW w:w="709" w:type="dxa"/>
            <w:vAlign w:val="center"/>
          </w:tcPr>
          <w:p w:rsidR="00FF63A5" w:rsidRPr="004C7368" w:rsidRDefault="00666837" w:rsidP="004C7368">
            <w:pPr>
              <w:ind w:hanging="35"/>
              <w:jc w:val="center"/>
              <w:rPr>
                <w:sz w:val="52"/>
                <w:szCs w:val="26"/>
              </w:rPr>
            </w:pPr>
            <w:r w:rsidRPr="004C7368">
              <w:rPr>
                <w:sz w:val="52"/>
                <w:szCs w:val="26"/>
              </w:rPr>
              <w:t>7</w:t>
            </w:r>
          </w:p>
        </w:tc>
      </w:tr>
      <w:tr w:rsidR="003063D2" w:rsidRPr="003063D2" w:rsidTr="004C7368">
        <w:tc>
          <w:tcPr>
            <w:tcW w:w="10349" w:type="dxa"/>
          </w:tcPr>
          <w:p w:rsidR="003A0ADE" w:rsidRDefault="003A0ADE" w:rsidP="005B0909">
            <w:pPr>
              <w:ind w:firstLine="56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У </w:t>
            </w:r>
            <w:r w:rsidR="00492E9E">
              <w:rPr>
                <w:rFonts w:cs="Times New Roman"/>
                <w:sz w:val="26"/>
                <w:szCs w:val="26"/>
              </w:rPr>
              <w:t>нас</w:t>
            </w:r>
            <w:r>
              <w:rPr>
                <w:rFonts w:cs="Times New Roman"/>
                <w:sz w:val="26"/>
                <w:szCs w:val="26"/>
              </w:rPr>
              <w:t xml:space="preserve"> сложились прочные отношения с разными организациями и учреждениями различных уровней – гимназия много лет подтверждает членство в САШ ЮНЕСКО, наши учащиеся и педагоги активно участвуют в мероприятиях для базовых школ ВШЭ. На муниципальном уровне организовано сетевое посещение элективных курсов учениками в других образовательных учреждениях. Не говоря о сложившейся системе отношений с учреждениями культуры. </w:t>
            </w:r>
          </w:p>
          <w:p w:rsidR="00FF63A5" w:rsidRPr="00182B76" w:rsidRDefault="003A0ADE" w:rsidP="00492E9E">
            <w:pPr>
              <w:ind w:firstLine="56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Новым в насыщении этого компонента является установление контактов с предприятиями способн</w:t>
            </w:r>
            <w:r w:rsidR="00492E9E">
              <w:rPr>
                <w:rFonts w:cs="Times New Roman"/>
                <w:sz w:val="26"/>
                <w:szCs w:val="26"/>
              </w:rPr>
              <w:t>ыми организовать и провести</w:t>
            </w:r>
            <w:r>
              <w:rPr>
                <w:rFonts w:cs="Times New Roman"/>
                <w:sz w:val="26"/>
                <w:szCs w:val="26"/>
              </w:rPr>
              <w:t xml:space="preserve"> профессиональные пробы, тематические занятия, образовательные интенсивны, обеспечить наставническую деятельность. Например: УЭХК, Корпоративная академия </w:t>
            </w:r>
            <w:proofErr w:type="spellStart"/>
            <w:r>
              <w:rPr>
                <w:rFonts w:cs="Times New Roman"/>
                <w:sz w:val="26"/>
                <w:szCs w:val="26"/>
              </w:rPr>
              <w:t>Росатома</w:t>
            </w:r>
            <w:proofErr w:type="spellEnd"/>
            <w:r>
              <w:rPr>
                <w:rFonts w:cs="Times New Roman"/>
                <w:sz w:val="26"/>
                <w:szCs w:val="26"/>
              </w:rPr>
              <w:t>, НТИ НИЯУ МИФИ</w:t>
            </w:r>
          </w:p>
        </w:tc>
        <w:tc>
          <w:tcPr>
            <w:tcW w:w="709" w:type="dxa"/>
            <w:vAlign w:val="center"/>
          </w:tcPr>
          <w:p w:rsidR="00FF63A5" w:rsidRPr="004C7368" w:rsidRDefault="00666837" w:rsidP="004C7368">
            <w:pPr>
              <w:ind w:hanging="35"/>
              <w:jc w:val="center"/>
              <w:rPr>
                <w:sz w:val="52"/>
                <w:szCs w:val="26"/>
              </w:rPr>
            </w:pPr>
            <w:r w:rsidRPr="004C7368">
              <w:rPr>
                <w:sz w:val="52"/>
                <w:szCs w:val="26"/>
              </w:rPr>
              <w:t>8</w:t>
            </w:r>
          </w:p>
        </w:tc>
      </w:tr>
      <w:tr w:rsidR="005B0909" w:rsidRPr="003063D2" w:rsidTr="004C7368">
        <w:tc>
          <w:tcPr>
            <w:tcW w:w="10349" w:type="dxa"/>
          </w:tcPr>
          <w:p w:rsidR="005B0909" w:rsidRPr="00182B76" w:rsidRDefault="005B0909" w:rsidP="005B0909">
            <w:pPr>
              <w:ind w:firstLine="56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Информационный компонент предполагает оживление информационного поля учащихся. Это происходит в формате традиц</w:t>
            </w:r>
            <w:r w:rsidR="00492E9E">
              <w:rPr>
                <w:rFonts w:cs="Times New Roman"/>
                <w:sz w:val="26"/>
                <w:szCs w:val="26"/>
              </w:rPr>
              <w:t>ионных мероприятий гимназии ДНИ</w:t>
            </w:r>
            <w:r>
              <w:rPr>
                <w:rFonts w:cs="Times New Roman"/>
                <w:sz w:val="26"/>
                <w:szCs w:val="26"/>
              </w:rPr>
              <w:t xml:space="preserve">, АЧ, День краеведения; системе гимназических ОС; в олимпиадах и других интеллектуальных конкурсах, проводимых на базе гимназии. В настоящее время расширение информационного поля происходит за счет </w:t>
            </w:r>
            <w:r w:rsidR="00492E9E">
              <w:rPr>
                <w:rFonts w:cs="Times New Roman"/>
                <w:sz w:val="26"/>
                <w:szCs w:val="26"/>
              </w:rPr>
              <w:t>работы в образовательной системе</w:t>
            </w:r>
            <w:r>
              <w:rPr>
                <w:rFonts w:cs="Times New Roman"/>
                <w:sz w:val="26"/>
                <w:szCs w:val="26"/>
              </w:rPr>
              <w:t xml:space="preserve"> РОБИ, обучения в  Инженерном классе </w:t>
            </w:r>
            <w:proofErr w:type="spellStart"/>
            <w:r>
              <w:rPr>
                <w:rFonts w:cs="Times New Roman"/>
                <w:sz w:val="26"/>
                <w:szCs w:val="26"/>
              </w:rPr>
              <w:t>Росатома</w:t>
            </w:r>
            <w:proofErr w:type="spellEnd"/>
            <w:r>
              <w:rPr>
                <w:rFonts w:cs="Times New Roman"/>
                <w:sz w:val="26"/>
                <w:szCs w:val="26"/>
              </w:rPr>
              <w:t>, проведении деловых игр Модель БРИКС, Выходи решать и др. Большее значение стало уделяться рекламных кампаниям по вовлечению учащихся в соревновательные и фестивальные мероприятия</w:t>
            </w:r>
          </w:p>
        </w:tc>
        <w:tc>
          <w:tcPr>
            <w:tcW w:w="709" w:type="dxa"/>
            <w:vAlign w:val="center"/>
          </w:tcPr>
          <w:p w:rsidR="005B0909" w:rsidRPr="004C7368" w:rsidRDefault="00666837" w:rsidP="004C7368">
            <w:pPr>
              <w:ind w:hanging="35"/>
              <w:jc w:val="center"/>
              <w:rPr>
                <w:sz w:val="52"/>
                <w:szCs w:val="26"/>
              </w:rPr>
            </w:pPr>
            <w:r w:rsidRPr="004C7368">
              <w:rPr>
                <w:sz w:val="52"/>
                <w:szCs w:val="26"/>
              </w:rPr>
              <w:t>9</w:t>
            </w:r>
          </w:p>
        </w:tc>
      </w:tr>
      <w:tr w:rsidR="005B0909" w:rsidRPr="003063D2" w:rsidTr="004C7368">
        <w:tc>
          <w:tcPr>
            <w:tcW w:w="10349" w:type="dxa"/>
          </w:tcPr>
          <w:p w:rsidR="005B0909" w:rsidRPr="00182B76" w:rsidRDefault="005B0909" w:rsidP="005B0909">
            <w:pPr>
              <w:ind w:firstLine="56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Прежние традиционные события дополняются новыми направлениями, так в конференцию АЧ включены Педагогические чтения по актуальным вопросам образования. На слайде представлена система образовательных событий по формированию функциональной грамотности. Например, в ходе образовательного события прогулка по </w:t>
            </w:r>
            <w:proofErr w:type="spellStart"/>
            <w:r>
              <w:rPr>
                <w:rFonts w:cs="Times New Roman"/>
                <w:sz w:val="26"/>
                <w:szCs w:val="26"/>
              </w:rPr>
              <w:t>Правограду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учащиеся участвуют в викторине, составляют ментальные карты, выступают в песенных состязаниях</w:t>
            </w:r>
          </w:p>
        </w:tc>
        <w:tc>
          <w:tcPr>
            <w:tcW w:w="709" w:type="dxa"/>
            <w:vAlign w:val="center"/>
          </w:tcPr>
          <w:p w:rsidR="005B0909" w:rsidRPr="004C7368" w:rsidRDefault="00666837" w:rsidP="004C7368">
            <w:pPr>
              <w:ind w:hanging="35"/>
              <w:jc w:val="center"/>
              <w:rPr>
                <w:sz w:val="52"/>
                <w:szCs w:val="26"/>
              </w:rPr>
            </w:pPr>
            <w:r w:rsidRPr="004C7368">
              <w:rPr>
                <w:sz w:val="52"/>
                <w:szCs w:val="26"/>
              </w:rPr>
              <w:t>10</w:t>
            </w:r>
          </w:p>
        </w:tc>
      </w:tr>
      <w:tr w:rsidR="005B0909" w:rsidRPr="003063D2" w:rsidTr="004C7368">
        <w:tc>
          <w:tcPr>
            <w:tcW w:w="10349" w:type="dxa"/>
          </w:tcPr>
          <w:p w:rsidR="005B0909" w:rsidRDefault="005B0909" w:rsidP="005B0909">
            <w:pPr>
              <w:ind w:firstLine="56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Предметный компонент представляет собой пространство, наполненное материальными и духовными смыслами в виде многофункционального конференц-зала, игровых и рабочих зон, информационных стендов и мобильных выставок по различным направлениям. В одной из рекреаций создано пространство Точки притяжения, в котором проходят мероприятия как интеллектуальной, так и художественной направленности.</w:t>
            </w:r>
          </w:p>
          <w:p w:rsidR="005B0909" w:rsidRPr="005571DE" w:rsidRDefault="005B0909" w:rsidP="005B0909">
            <w:pPr>
              <w:ind w:firstLine="56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Дальнейшему формированию активной образовательной среды помогает приобретение и включение в деятельность конструкторов РОБИ, приобретение цифровых лабораторий по физике и химии, создание </w:t>
            </w:r>
            <w:proofErr w:type="spellStart"/>
            <w:r>
              <w:rPr>
                <w:rFonts w:cs="Times New Roman"/>
                <w:sz w:val="26"/>
                <w:szCs w:val="26"/>
              </w:rPr>
              <w:t>коворкинга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по изучению точных и естественно-научных дисциплин, формированию </w:t>
            </w:r>
            <w:r>
              <w:rPr>
                <w:rFonts w:cs="Times New Roman"/>
                <w:sz w:val="26"/>
                <w:szCs w:val="26"/>
                <w:lang w:val="en-US"/>
              </w:rPr>
              <w:t>steam</w:t>
            </w:r>
            <w:r>
              <w:rPr>
                <w:rFonts w:cs="Times New Roman"/>
                <w:sz w:val="26"/>
                <w:szCs w:val="26"/>
              </w:rPr>
              <w:t>-навыков</w:t>
            </w:r>
          </w:p>
        </w:tc>
        <w:tc>
          <w:tcPr>
            <w:tcW w:w="709" w:type="dxa"/>
            <w:vAlign w:val="center"/>
          </w:tcPr>
          <w:p w:rsidR="005B0909" w:rsidRPr="004C7368" w:rsidRDefault="00666837" w:rsidP="004C7368">
            <w:pPr>
              <w:ind w:hanging="35"/>
              <w:jc w:val="center"/>
              <w:rPr>
                <w:sz w:val="52"/>
                <w:szCs w:val="26"/>
              </w:rPr>
            </w:pPr>
            <w:r w:rsidRPr="004C7368">
              <w:rPr>
                <w:sz w:val="52"/>
                <w:szCs w:val="26"/>
              </w:rPr>
              <w:t>11</w:t>
            </w:r>
          </w:p>
        </w:tc>
      </w:tr>
      <w:tr w:rsidR="0052770F" w:rsidRPr="003063D2" w:rsidTr="004C7368">
        <w:tc>
          <w:tcPr>
            <w:tcW w:w="10349" w:type="dxa"/>
          </w:tcPr>
          <w:p w:rsidR="00E93E14" w:rsidRDefault="005113FA" w:rsidP="005B0909">
            <w:pPr>
              <w:ind w:firstLine="567"/>
              <w:rPr>
                <w:rFonts w:cs="Times New Roman"/>
                <w:sz w:val="26"/>
                <w:szCs w:val="26"/>
              </w:rPr>
            </w:pPr>
            <w:r w:rsidRPr="00182B76">
              <w:rPr>
                <w:rFonts w:cs="Times New Roman"/>
                <w:sz w:val="26"/>
                <w:szCs w:val="26"/>
              </w:rPr>
              <w:t>Контрольно-диагностическая и регулятивно-коррекционная функции дают возможность проводить экспертизу, оценивание, коррекцию и регулирование на всех этапах управленческой деятельности</w:t>
            </w:r>
            <w:r w:rsidR="00E93E14">
              <w:rPr>
                <w:rFonts w:cs="Times New Roman"/>
                <w:sz w:val="26"/>
                <w:szCs w:val="26"/>
              </w:rPr>
              <w:t xml:space="preserve">. </w:t>
            </w:r>
            <w:r w:rsidR="00E93E14" w:rsidRPr="00E93E14">
              <w:rPr>
                <w:rFonts w:cs="Times New Roman"/>
                <w:sz w:val="26"/>
                <w:szCs w:val="26"/>
              </w:rPr>
              <w:t>В основу этой деятельности могут быть положены критерии и показатели эффективности образовательной среды, разработанные С.В. Тарасовым</w:t>
            </w:r>
            <w:r w:rsidR="00492E9E">
              <w:rPr>
                <w:rFonts w:cs="Times New Roman"/>
                <w:sz w:val="26"/>
                <w:szCs w:val="26"/>
              </w:rPr>
              <w:t>.</w:t>
            </w:r>
          </w:p>
          <w:p w:rsidR="003A2FEE" w:rsidRDefault="003A2FEE" w:rsidP="003A2FEE">
            <w:pPr>
              <w:ind w:firstLine="56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Оценка эффективности это 5 шаг алгоритма формирования активной образовательной среды.</w:t>
            </w:r>
            <w:r w:rsidRPr="00B53AB6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3A2FEE" w:rsidRPr="00B53AB6" w:rsidRDefault="003A2FEE" w:rsidP="003A2FEE">
            <w:pPr>
              <w:ind w:firstLine="567"/>
              <w:rPr>
                <w:rFonts w:cs="Times New Roman"/>
                <w:sz w:val="26"/>
                <w:szCs w:val="26"/>
              </w:rPr>
            </w:pPr>
            <w:r w:rsidRPr="00B53AB6">
              <w:rPr>
                <w:rFonts w:cs="Times New Roman"/>
                <w:sz w:val="26"/>
                <w:szCs w:val="26"/>
              </w:rPr>
              <w:lastRenderedPageBreak/>
              <w:t xml:space="preserve">На </w:t>
            </w:r>
            <w:r>
              <w:rPr>
                <w:rFonts w:cs="Times New Roman"/>
                <w:sz w:val="26"/>
                <w:szCs w:val="26"/>
              </w:rPr>
              <w:t>сегодняшний день в гимназии</w:t>
            </w:r>
            <w:r w:rsidRPr="00B53AB6">
              <w:rPr>
                <w:rFonts w:cs="Times New Roman"/>
                <w:sz w:val="26"/>
                <w:szCs w:val="26"/>
              </w:rPr>
              <w:t xml:space="preserve"> 41 теоретически разработана модель активной образовательной среды, </w:t>
            </w:r>
            <w:r>
              <w:rPr>
                <w:rFonts w:cs="Times New Roman"/>
                <w:sz w:val="26"/>
                <w:szCs w:val="26"/>
              </w:rPr>
              <w:t>выстраивается система мероприятий</w:t>
            </w:r>
            <w:r w:rsidRPr="00B53AB6">
              <w:rPr>
                <w:rFonts w:cs="Times New Roman"/>
                <w:sz w:val="26"/>
                <w:szCs w:val="26"/>
              </w:rPr>
              <w:t xml:space="preserve">. Заключены договоры о взаимодействии с вузами, предприятиями и организациям города, реализованы проекты различных платформ и ассоциаций. Проведены новые мероприятия городского и регионального уровня для обучающихся и учителей, закуплено и используется новое оборудование для занятий робототехникой, открыты новые направления профильного обучения. Организация приняла успешное участие в </w:t>
            </w:r>
            <w:proofErr w:type="spellStart"/>
            <w:r w:rsidRPr="00B53AB6">
              <w:rPr>
                <w:rFonts w:cs="Times New Roman"/>
                <w:sz w:val="26"/>
                <w:szCs w:val="26"/>
              </w:rPr>
              <w:t>грантовых</w:t>
            </w:r>
            <w:proofErr w:type="spellEnd"/>
            <w:r w:rsidRPr="00B53AB6">
              <w:rPr>
                <w:rFonts w:cs="Times New Roman"/>
                <w:sz w:val="26"/>
                <w:szCs w:val="26"/>
              </w:rPr>
              <w:t xml:space="preserve"> конкурсах, за счёт чего идёт модернизация материально-технической базы.</w:t>
            </w:r>
          </w:p>
          <w:p w:rsidR="00492E9E" w:rsidRPr="00182B76" w:rsidRDefault="003A2FEE" w:rsidP="003A2FEE">
            <w:pPr>
              <w:ind w:firstLine="567"/>
              <w:rPr>
                <w:rFonts w:cs="Times New Roman"/>
                <w:sz w:val="26"/>
                <w:szCs w:val="26"/>
              </w:rPr>
            </w:pPr>
            <w:r w:rsidRPr="00B53AB6">
              <w:rPr>
                <w:rFonts w:cs="Times New Roman"/>
                <w:sz w:val="26"/>
                <w:szCs w:val="26"/>
              </w:rPr>
              <w:t xml:space="preserve">Результаты проделанной работы позволяют сделать вывод о корректности реализуемой модели формируемой активной образовательной среды, что не исключает возможности изменения как самой модели, так и ее </w:t>
            </w:r>
            <w:r>
              <w:rPr>
                <w:rFonts w:cs="Times New Roman"/>
                <w:sz w:val="26"/>
                <w:szCs w:val="26"/>
              </w:rPr>
              <w:t>, что характеризует 6 шаг конструкта</w:t>
            </w:r>
          </w:p>
        </w:tc>
        <w:tc>
          <w:tcPr>
            <w:tcW w:w="709" w:type="dxa"/>
            <w:vAlign w:val="center"/>
          </w:tcPr>
          <w:p w:rsidR="0052770F" w:rsidRPr="004C7368" w:rsidRDefault="00666837" w:rsidP="004C7368">
            <w:pPr>
              <w:ind w:hanging="35"/>
              <w:jc w:val="center"/>
              <w:rPr>
                <w:sz w:val="52"/>
                <w:szCs w:val="26"/>
              </w:rPr>
            </w:pPr>
            <w:r w:rsidRPr="004C7368">
              <w:rPr>
                <w:sz w:val="52"/>
                <w:szCs w:val="26"/>
              </w:rPr>
              <w:lastRenderedPageBreak/>
              <w:t>12</w:t>
            </w:r>
          </w:p>
        </w:tc>
      </w:tr>
      <w:tr w:rsidR="0052770F" w:rsidRPr="003063D2" w:rsidTr="004C7368">
        <w:trPr>
          <w:trHeight w:val="2117"/>
        </w:trPr>
        <w:tc>
          <w:tcPr>
            <w:tcW w:w="10349" w:type="dxa"/>
          </w:tcPr>
          <w:p w:rsidR="0052770F" w:rsidRDefault="003A2FEE" w:rsidP="005B0909">
            <w:pPr>
              <w:ind w:firstLine="56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Задание:</w:t>
            </w:r>
          </w:p>
          <w:p w:rsidR="003A2FEE" w:rsidRPr="00182B76" w:rsidRDefault="003A2FEE" w:rsidP="003A2FEE">
            <w:pPr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52770F" w:rsidRPr="004C7368" w:rsidRDefault="003A2FEE" w:rsidP="004C7368">
            <w:pPr>
              <w:ind w:hanging="35"/>
              <w:jc w:val="center"/>
              <w:rPr>
                <w:sz w:val="52"/>
                <w:szCs w:val="26"/>
              </w:rPr>
            </w:pPr>
            <w:r w:rsidRPr="004C7368">
              <w:rPr>
                <w:sz w:val="52"/>
                <w:szCs w:val="26"/>
              </w:rPr>
              <w:t>13</w:t>
            </w:r>
          </w:p>
        </w:tc>
      </w:tr>
      <w:tr w:rsidR="003A2FEE" w:rsidRPr="003063D2" w:rsidTr="004C7368">
        <w:trPr>
          <w:trHeight w:val="2117"/>
        </w:trPr>
        <w:tc>
          <w:tcPr>
            <w:tcW w:w="10349" w:type="dxa"/>
          </w:tcPr>
          <w:p w:rsidR="003A2FEE" w:rsidRPr="00182B76" w:rsidRDefault="004C7368" w:rsidP="005B0909">
            <w:pPr>
              <w:ind w:firstLine="56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Представление заполненных</w:t>
            </w:r>
            <w:bookmarkStart w:id="0" w:name="_GoBack"/>
            <w:bookmarkEnd w:id="0"/>
            <w:r>
              <w:rPr>
                <w:rFonts w:cs="Times New Roman"/>
                <w:sz w:val="26"/>
                <w:szCs w:val="26"/>
              </w:rPr>
              <w:t xml:space="preserve"> рабочих листов</w:t>
            </w:r>
          </w:p>
        </w:tc>
        <w:tc>
          <w:tcPr>
            <w:tcW w:w="709" w:type="dxa"/>
            <w:vAlign w:val="center"/>
          </w:tcPr>
          <w:p w:rsidR="003A2FEE" w:rsidRPr="004C7368" w:rsidRDefault="00D20832" w:rsidP="004C7368">
            <w:pPr>
              <w:ind w:hanging="35"/>
              <w:jc w:val="center"/>
              <w:rPr>
                <w:sz w:val="52"/>
                <w:szCs w:val="26"/>
              </w:rPr>
            </w:pPr>
            <w:r w:rsidRPr="004C7368">
              <w:rPr>
                <w:sz w:val="52"/>
                <w:szCs w:val="26"/>
              </w:rPr>
              <w:t>14</w:t>
            </w:r>
          </w:p>
        </w:tc>
      </w:tr>
    </w:tbl>
    <w:p w:rsidR="00FF63A5" w:rsidRPr="003063D2" w:rsidRDefault="00FF63A5" w:rsidP="003063D2">
      <w:pPr>
        <w:spacing w:line="240" w:lineRule="auto"/>
        <w:ind w:firstLine="567"/>
        <w:rPr>
          <w:sz w:val="26"/>
          <w:szCs w:val="26"/>
        </w:rPr>
      </w:pPr>
    </w:p>
    <w:sectPr w:rsidR="00FF63A5" w:rsidRPr="003063D2" w:rsidSect="00FF63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151C5"/>
    <w:multiLevelType w:val="hybridMultilevel"/>
    <w:tmpl w:val="EB360030"/>
    <w:lvl w:ilvl="0" w:tplc="F454F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275A7A"/>
    <w:multiLevelType w:val="hybridMultilevel"/>
    <w:tmpl w:val="839EA5DC"/>
    <w:lvl w:ilvl="0" w:tplc="F454FA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65"/>
    <w:rsid w:val="000B3F48"/>
    <w:rsid w:val="00172470"/>
    <w:rsid w:val="00182B76"/>
    <w:rsid w:val="001F63FE"/>
    <w:rsid w:val="0023668D"/>
    <w:rsid w:val="0024454A"/>
    <w:rsid w:val="002E0147"/>
    <w:rsid w:val="00304FF0"/>
    <w:rsid w:val="003063D2"/>
    <w:rsid w:val="00390F37"/>
    <w:rsid w:val="003A0ADE"/>
    <w:rsid w:val="003A2FEE"/>
    <w:rsid w:val="004352B2"/>
    <w:rsid w:val="00492E9E"/>
    <w:rsid w:val="004C7368"/>
    <w:rsid w:val="004F7E00"/>
    <w:rsid w:val="00501ABD"/>
    <w:rsid w:val="005113FA"/>
    <w:rsid w:val="0052770F"/>
    <w:rsid w:val="005779E4"/>
    <w:rsid w:val="005B0909"/>
    <w:rsid w:val="0064056E"/>
    <w:rsid w:val="006510A2"/>
    <w:rsid w:val="00666837"/>
    <w:rsid w:val="00730BC3"/>
    <w:rsid w:val="007A6B69"/>
    <w:rsid w:val="007F0395"/>
    <w:rsid w:val="00856454"/>
    <w:rsid w:val="009645A2"/>
    <w:rsid w:val="00A529C1"/>
    <w:rsid w:val="00B53AB6"/>
    <w:rsid w:val="00CD4E8F"/>
    <w:rsid w:val="00CE6B52"/>
    <w:rsid w:val="00D20832"/>
    <w:rsid w:val="00D74472"/>
    <w:rsid w:val="00DB39C1"/>
    <w:rsid w:val="00DD266B"/>
    <w:rsid w:val="00E233A1"/>
    <w:rsid w:val="00E40A06"/>
    <w:rsid w:val="00E93E14"/>
    <w:rsid w:val="00EA52E0"/>
    <w:rsid w:val="00F07C65"/>
    <w:rsid w:val="00F666A8"/>
    <w:rsid w:val="00FE24E5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5522"/>
  <w15:chartTrackingRefBased/>
  <w15:docId w15:val="{166A50E6-B701-4E3D-A4CC-E08AE18B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70"/>
    <w:pPr>
      <w:spacing w:after="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9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90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501AB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7">
    <w:name w:val="List Paragraph"/>
    <w:basedOn w:val="a"/>
    <w:uiPriority w:val="34"/>
    <w:qFormat/>
    <w:rsid w:val="00492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25D27-1C11-4131-AF7E-7285E8AB9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2025-10-07T08:49:00Z</cp:lastPrinted>
  <dcterms:created xsi:type="dcterms:W3CDTF">2025-10-07T04:15:00Z</dcterms:created>
  <dcterms:modified xsi:type="dcterms:W3CDTF">2025-10-30T04:56:00Z</dcterms:modified>
</cp:coreProperties>
</file>